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</w:rPr>
        <w:t>河北省监理</w:t>
      </w:r>
      <w:r>
        <w:rPr>
          <w:rFonts w:hint="eastAsia" w:ascii="黑体" w:eastAsia="黑体"/>
          <w:sz w:val="36"/>
          <w:szCs w:val="36"/>
          <w:lang w:eastAsia="zh-CN"/>
        </w:rPr>
        <w:t>会</w:t>
      </w:r>
      <w:r>
        <w:rPr>
          <w:rFonts w:hint="eastAsia" w:ascii="黑体" w:eastAsia="黑体"/>
          <w:sz w:val="36"/>
          <w:szCs w:val="36"/>
        </w:rPr>
        <w:t>员信用</w:t>
      </w:r>
      <w:r>
        <w:rPr>
          <w:rFonts w:hint="eastAsia" w:ascii="黑体" w:eastAsia="黑体"/>
          <w:sz w:val="36"/>
          <w:szCs w:val="36"/>
          <w:lang w:eastAsia="zh-CN"/>
        </w:rPr>
        <w:t>评估</w:t>
      </w:r>
      <w:r>
        <w:rPr>
          <w:rFonts w:hint="eastAsia" w:ascii="黑体" w:eastAsia="黑体"/>
          <w:sz w:val="36"/>
          <w:szCs w:val="36"/>
        </w:rPr>
        <w:t>管理办法</w:t>
      </w:r>
      <w:r>
        <w:rPr>
          <w:rFonts w:hint="eastAsia" w:ascii="黑体" w:eastAsia="黑体"/>
          <w:sz w:val="36"/>
          <w:szCs w:val="36"/>
          <w:lang w:eastAsia="zh-CN"/>
        </w:rPr>
        <w:t>（试行）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</w:t>
      </w:r>
      <w:r>
        <w:rPr>
          <w:rFonts w:hint="eastAsia" w:ascii="黑体" w:eastAsia="黑体"/>
          <w:sz w:val="36"/>
          <w:szCs w:val="36"/>
          <w:lang w:eastAsia="zh-CN"/>
        </w:rPr>
        <w:t>征求意见稿</w:t>
      </w:r>
      <w:r>
        <w:rPr>
          <w:rFonts w:hint="eastAsia" w:ascii="黑体" w:eastAsia="黑体"/>
          <w:sz w:val="36"/>
          <w:szCs w:val="36"/>
        </w:rPr>
        <w:t>）</w:t>
      </w:r>
    </w:p>
    <w:p>
      <w:pPr>
        <w:rPr>
          <w:sz w:val="30"/>
          <w:szCs w:val="30"/>
        </w:rPr>
      </w:pP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0" w:firstLineChars="0"/>
        <w:jc w:val="center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总  则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709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为推动我省监理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</w:t>
      </w:r>
      <w:r>
        <w:rPr>
          <w:rFonts w:hint="eastAsia" w:ascii="仿宋" w:hAnsi="仿宋" w:eastAsia="仿宋" w:cs="仿宋"/>
          <w:sz w:val="32"/>
          <w:szCs w:val="32"/>
        </w:rPr>
        <w:t>业持续健康发展，推进诚信体系建设，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住房和城乡建设部《建筑市场信用管理暂行办法》、河北省人民政府办公厅《关于加强个人诚信体系建设的实施意见》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《建设工程监理规范》(GB/T50319-2013)、《建设工程监理工作标准》（DB13（J）/T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161－201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）、</w:t>
      </w:r>
      <w:r>
        <w:rPr>
          <w:rFonts w:hint="eastAsia" w:ascii="仿宋_GB2312" w:eastAsia="仿宋_GB2312"/>
          <w:sz w:val="32"/>
          <w:szCs w:val="32"/>
          <w:lang w:eastAsia="zh-CN"/>
        </w:rPr>
        <w:t>《中国建设监理协会会员信用管理办法》、《中国建设监理协会会员信用评估标准（试行）》、</w:t>
      </w:r>
      <w:r>
        <w:rPr>
          <w:rFonts w:hint="eastAsia" w:ascii="仿宋_GB2312" w:eastAsia="仿宋_GB2312"/>
          <w:sz w:val="32"/>
          <w:szCs w:val="32"/>
        </w:rPr>
        <w:t>《河北省建筑市场发展</w:t>
      </w:r>
      <w:r>
        <w:rPr>
          <w:rFonts w:hint="eastAsia" w:ascii="仿宋_GB2312" w:eastAsia="仿宋_GB2312"/>
          <w:sz w:val="32"/>
          <w:szCs w:val="32"/>
          <w:lang w:eastAsia="zh-CN"/>
        </w:rPr>
        <w:t>研究会</w:t>
      </w:r>
      <w:r>
        <w:rPr>
          <w:rFonts w:hint="eastAsia" w:ascii="仿宋_GB2312" w:eastAsia="仿宋_GB2312"/>
          <w:sz w:val="32"/>
          <w:szCs w:val="32"/>
        </w:rPr>
        <w:t>个人会员管理办法》等，制定本办法。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709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本办法</w:t>
      </w:r>
      <w:r>
        <w:rPr>
          <w:rFonts w:hint="eastAsia" w:ascii="仿宋_GB2312" w:eastAsia="仿宋_GB2312"/>
          <w:sz w:val="32"/>
          <w:szCs w:val="32"/>
          <w:lang w:eastAsia="zh-CN"/>
        </w:rPr>
        <w:t>适用于河北省建筑市场发展研究会监理单位会员和监理个人会员（以下简称监理会员）的信用评估管理。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709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河北省建筑市场发展研究会负责河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北省行政区域内监理</w:t>
      </w:r>
      <w:r>
        <w:rPr>
          <w:rFonts w:hint="eastAsia" w:ascii="仿宋" w:hAnsi="仿宋" w:eastAsia="仿宋"/>
          <w:sz w:val="32"/>
          <w:szCs w:val="32"/>
        </w:rPr>
        <w:t>会员信用评估</w:t>
      </w:r>
      <w:r>
        <w:rPr>
          <w:rFonts w:hint="eastAsia" w:ascii="仿宋" w:hAnsi="仿宋" w:eastAsia="仿宋"/>
          <w:sz w:val="32"/>
          <w:szCs w:val="32"/>
          <w:lang w:eastAsia="zh-CN"/>
        </w:rPr>
        <w:t>及监督</w:t>
      </w:r>
      <w:r>
        <w:rPr>
          <w:rFonts w:hint="eastAsia"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  <w:lang w:eastAsia="zh-CN"/>
        </w:rPr>
        <w:t>工作，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河北省监理行业诚信自律委员会，负责指导信用评估工作。下设办公室，具体组织信用评估工作。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709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会员信用评估周期为两年。会员信用有效期自公告之日起至下一轮信用评估结果公告之日止。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firstLine="709" w:firstLineChars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信用评估结果公告公布，单位会员发放《河北省监理单位会员信用评估等级证书》、个人会员发放《河北省监理个人会员信用手册》电子证书。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" w:firstLine="707" w:firstLineChars="220"/>
        <w:jc w:val="center"/>
        <w:textAlignment w:val="auto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第二章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  信用评估依据和原则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2" w:firstLine="707" w:firstLineChars="220"/>
        <w:jc w:val="left"/>
        <w:textAlignment w:val="auto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>第六条  信用评估工作依据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(一)国家有关法律、法规、规章等;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(二)行业规范性文件、规定及标准等;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(三)政府有关部门及行业协会的表彰、奖励、专项检查、核查、抽查结果等;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(四)已生效的判决书或仲裁裁决书;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(五)已生效的行政或司法机关的处罚决定书;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(六)工程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建设监理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统计报表制度;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(七))企业在住建部及各省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建设行政主管部门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上报的相关数据;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)企业在各级政府机关或部门的信用档案信息;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)企业从业人员在各级政府机关或部门的信用档案信息;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(十)其它相关信用信息等。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第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七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Style w:val="7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信用评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工作遵循以下原则: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(一)独立、客观、公正、科学;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(二)政府引导、行业自律、社会监督;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(三)社会需求和行业发展相结合;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(四)能力与信用相结合;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(五)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运用信用服务平台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;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(六)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会员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自愿。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/>
        <w:jc w:val="center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第三章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信用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评估内容和标准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9" w:leftChars="0" w:firstLine="700" w:firstLineChars="218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第八条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会员信息分为基本信息、优良信用信息和不良信用信息三类。</w:t>
      </w:r>
      <w:r>
        <w:rPr>
          <w:rFonts w:hint="eastAsia" w:ascii="仿宋" w:hAnsi="仿宋" w:eastAsia="仿宋"/>
          <w:sz w:val="32"/>
          <w:szCs w:val="32"/>
        </w:rPr>
        <w:t>会员信用信息评估权重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基本信息为30%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优良信用信息为30%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不良信用信息为40%。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9" w:leftChars="0" w:firstLine="700" w:firstLineChars="218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第九条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监理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</w:rPr>
        <w:t>员信用</w:t>
      </w:r>
      <w:r>
        <w:rPr>
          <w:rFonts w:hint="eastAsia" w:ascii="仿宋_GB2312" w:eastAsia="仿宋_GB2312"/>
          <w:sz w:val="32"/>
          <w:szCs w:val="32"/>
          <w:lang w:eastAsia="zh-CN"/>
        </w:rPr>
        <w:t>评估内容组成和评估标准。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9" w:leftChars="0" w:firstLine="697" w:firstLineChars="218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（一）单位会员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</w:t>
      </w:r>
      <w:r>
        <w:rPr>
          <w:rFonts w:hint="eastAsia" w:ascii="仿宋" w:hAnsi="仿宋" w:eastAsia="仿宋" w:cs="Arial"/>
          <w:sz w:val="32"/>
          <w:szCs w:val="32"/>
        </w:rPr>
        <w:t>主要</w:t>
      </w:r>
      <w:r>
        <w:rPr>
          <w:rFonts w:hint="eastAsia" w:ascii="仿宋" w:hAnsi="仿宋" w:eastAsia="仿宋"/>
          <w:sz w:val="32"/>
          <w:szCs w:val="32"/>
        </w:rPr>
        <w:t>包括：企业资质、团队建设、依法纳税、员工权益保障、员工教育投入、技术装备。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优良信用信息</w:t>
      </w:r>
      <w:r>
        <w:rPr>
          <w:rFonts w:hint="eastAsia" w:ascii="仿宋" w:hAnsi="仿宋" w:eastAsia="仿宋" w:cs="Arial"/>
          <w:sz w:val="32"/>
          <w:szCs w:val="32"/>
        </w:rPr>
        <w:t>主要</w:t>
      </w:r>
      <w:r>
        <w:rPr>
          <w:rFonts w:hint="eastAsia" w:ascii="仿宋" w:hAnsi="仿宋" w:eastAsia="仿宋"/>
          <w:sz w:val="32"/>
          <w:szCs w:val="32"/>
        </w:rPr>
        <w:t>包括：获奖、表扬、科学技术创新成果与应用、三体系认证、社会贡献、协会活动。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不良信用信息主要包括：违规行为、质量和安全生产监管考核缺项、黑名单、恶性竞争、信息失真、外地分支机构管理缺失。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单位会员信用评估标准见附件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（二）个人会员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基本信息包括：从业年限、承担项目数量、继续教育、学历、职称。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优良信用信息包括：获奖、表扬、科学技术创新成果与应用、协会活动。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4" w:firstLineChars="189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不良信用信息包括：不良行为、质量和安全生产监管考核缺项、黑名单、信息失真、职业道德缺失。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4" w:firstLineChars="189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个人会员信用评估标准见附件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7" w:firstLineChars="189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会员信用评估得分计算方式。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最后得分X</w:t>
      </w:r>
      <w:r>
        <w:rPr>
          <w:rFonts w:hint="eastAsia" w:ascii="黑体" w:hAnsi="黑体" w:eastAsia="黑体"/>
          <w:sz w:val="32"/>
          <w:szCs w:val="32"/>
        </w:rPr>
        <w:t>=</w:t>
      </w:r>
      <w:r>
        <w:rPr>
          <w:rFonts w:hint="eastAsia" w:ascii="仿宋" w:hAnsi="仿宋" w:eastAsia="仿宋"/>
          <w:sz w:val="32"/>
          <w:szCs w:val="32"/>
        </w:rPr>
        <w:t>基本信息得分×30%＋优良信用信息得分×30%＋不良信用信息得分×40%。最后得分保留小数点后两位数（四舍五入）。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第十一条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监理会员信用评估采用计分制量化评估，满分100分，根据评估得分确定信用等级。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（一）单位会员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信用评估结果分为AAA、AA、A、B四级，实行动态管理和信用信息采集。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85分     AAA级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70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X&lt;85分   AA级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X&lt;70分   A级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X&lt;60分      B级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个人会员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Autospacing="0"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信用评估结果分为优秀，合格，实行动态评估，动态管理。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X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85分为  优秀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default" w:ascii="Arial" w:hAnsi="Arial" w:eastAsia="仿宋" w:cs="Arial"/>
          <w:sz w:val="32"/>
          <w:szCs w:val="32"/>
          <w:lang w:val="en-US" w:eastAsia="zh-CN"/>
        </w:rPr>
        <w:t>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X&lt;85分为 合格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章 信用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评估程序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eastAsia="zh-CN"/>
        </w:rPr>
        <w:t>第十二条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采用初始评价和动态管理相结合的办法。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  <w:t xml:space="preserve">第十三条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单位会</w:t>
      </w:r>
      <w:r>
        <w:rPr>
          <w:rFonts w:hint="eastAsia" w:ascii="仿宋" w:hAnsi="仿宋" w:eastAsia="仿宋" w:cs="仿宋"/>
          <w:sz w:val="32"/>
          <w:szCs w:val="32"/>
        </w:rPr>
        <w:t>员信用评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初评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或评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有效期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sz w:val="32"/>
          <w:szCs w:val="32"/>
        </w:rPr>
        <w:t>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应在3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内）由</w:t>
      </w:r>
      <w:r>
        <w:rPr>
          <w:rFonts w:hint="eastAsia" w:ascii="仿宋" w:hAnsi="仿宋" w:eastAsia="仿宋" w:cs="仿宋"/>
          <w:sz w:val="32"/>
          <w:szCs w:val="32"/>
        </w:rPr>
        <w:t>本企业提出申请，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单位会员</w:t>
      </w:r>
      <w:r>
        <w:rPr>
          <w:rFonts w:hint="eastAsia" w:ascii="仿宋" w:hAnsi="仿宋" w:eastAsia="仿宋" w:cs="仿宋"/>
          <w:sz w:val="32"/>
          <w:szCs w:val="32"/>
        </w:rPr>
        <w:t>提交《河北省监理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估申请</w:t>
      </w:r>
      <w:r>
        <w:rPr>
          <w:rFonts w:hint="eastAsia" w:ascii="仿宋" w:hAnsi="仿宋" w:eastAsia="仿宋" w:cs="仿宋"/>
          <w:sz w:val="32"/>
          <w:szCs w:val="32"/>
        </w:rPr>
        <w:t>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监理企业签署初评意见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，报河北省建筑市场发展研究会；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初评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或评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有效期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届</w:t>
      </w:r>
      <w:r>
        <w:rPr>
          <w:rFonts w:hint="eastAsia" w:ascii="仿宋" w:hAnsi="仿宋" w:eastAsia="仿宋" w:cs="仿宋"/>
          <w:sz w:val="32"/>
          <w:szCs w:val="32"/>
        </w:rPr>
        <w:t>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应在3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内）由个人</w:t>
      </w:r>
      <w:r>
        <w:rPr>
          <w:rFonts w:hint="eastAsia" w:ascii="仿宋" w:hAnsi="仿宋" w:eastAsia="仿宋" w:cs="仿宋"/>
          <w:sz w:val="32"/>
          <w:szCs w:val="32"/>
        </w:rPr>
        <w:t>提出申请，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已加入个人会员的，完善个人会员信用信息，企业</w:t>
      </w:r>
      <w:r>
        <w:rPr>
          <w:rFonts w:hint="eastAsia" w:ascii="仿宋" w:hAnsi="仿宋" w:eastAsia="仿宋" w:cs="仿宋"/>
          <w:sz w:val="32"/>
          <w:szCs w:val="32"/>
        </w:rPr>
        <w:t>提交《河北省监理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个人会</w:t>
      </w:r>
      <w:r>
        <w:rPr>
          <w:rFonts w:hint="eastAsia" w:ascii="仿宋" w:hAnsi="仿宋" w:eastAsia="仿宋" w:cs="仿宋"/>
          <w:sz w:val="32"/>
          <w:szCs w:val="32"/>
        </w:rPr>
        <w:t>员信用评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估申请汇总</w:t>
      </w:r>
      <w:r>
        <w:rPr>
          <w:rFonts w:hint="eastAsia" w:ascii="仿宋" w:hAnsi="仿宋" w:eastAsia="仿宋" w:cs="仿宋"/>
          <w:sz w:val="32"/>
          <w:szCs w:val="32"/>
        </w:rPr>
        <w:t>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；新入会个人会员在线填写个人会员信息，提交《</w:t>
      </w:r>
      <w:r>
        <w:rPr>
          <w:rFonts w:hint="eastAsia" w:ascii="仿宋" w:hAnsi="仿宋" w:eastAsia="仿宋" w:cs="仿宋"/>
          <w:sz w:val="32"/>
          <w:szCs w:val="32"/>
        </w:rPr>
        <w:t>河北省监理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个人会</w:t>
      </w:r>
      <w:r>
        <w:rPr>
          <w:rFonts w:hint="eastAsia" w:ascii="仿宋" w:hAnsi="仿宋" w:eastAsia="仿宋" w:cs="仿宋"/>
          <w:sz w:val="32"/>
          <w:szCs w:val="32"/>
        </w:rPr>
        <w:t>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入会申请表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监理企业将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个人会员初评资</w:t>
      </w:r>
      <w:r>
        <w:rPr>
          <w:rFonts w:hint="eastAsia" w:ascii="仿宋" w:hAnsi="仿宋" w:eastAsia="仿宋" w:cs="仿宋"/>
          <w:sz w:val="32"/>
          <w:szCs w:val="32"/>
        </w:rPr>
        <w:t>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审核</w:t>
      </w:r>
      <w:r>
        <w:rPr>
          <w:rFonts w:hint="eastAsia" w:ascii="仿宋" w:hAnsi="仿宋" w:eastAsia="仿宋" w:cs="仿宋"/>
          <w:sz w:val="32"/>
          <w:szCs w:val="32"/>
        </w:rPr>
        <w:t>签署意见，报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河北省建筑市场发展研究会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监理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员信用评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企业申报资料报送河北省建筑市场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发展研究会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组织专家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对企业报送的资料进行审核，并签署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复核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意见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，确定信用评估结果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河北省建筑市场发展研究会</w:t>
      </w:r>
      <w:r>
        <w:rPr>
          <w:rFonts w:hint="eastAsia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监理会员信用评估复核</w:t>
      </w:r>
      <w:r>
        <w:rPr>
          <w:rFonts w:hint="eastAsia" w:ascii="仿宋" w:hAnsi="仿宋" w:eastAsia="仿宋" w:cs="仿宋"/>
          <w:sz w:val="32"/>
          <w:szCs w:val="32"/>
        </w:rPr>
        <w:t>结果在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网站进行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</w:t>
      </w:r>
      <w:r>
        <w:rPr>
          <w:rFonts w:hint="eastAsia" w:ascii="仿宋" w:hAnsi="仿宋" w:eastAsia="仿宋" w:cs="仿宋"/>
          <w:sz w:val="32"/>
          <w:szCs w:val="32"/>
        </w:rPr>
        <w:t>。公示期满后，无异议，确定为当期河北省监理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</w:rPr>
        <w:t>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评估结果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员如果对信用评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审定结果持有异议，可在信用评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公示期内，向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河北省建筑市场发展研究会</w:t>
      </w:r>
      <w:r>
        <w:rPr>
          <w:rFonts w:hint="eastAsia" w:ascii="仿宋" w:hAnsi="仿宋" w:eastAsia="仿宋" w:cs="仿宋"/>
          <w:sz w:val="32"/>
          <w:szCs w:val="32"/>
        </w:rPr>
        <w:t>提出书面复审申请，所在企业签署意见，同时提供说明材料。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诚信自律委员会</w:t>
      </w:r>
      <w:r>
        <w:rPr>
          <w:rFonts w:hint="eastAsia" w:ascii="仿宋" w:hAnsi="仿宋" w:eastAsia="仿宋" w:cs="仿宋"/>
          <w:sz w:val="32"/>
          <w:szCs w:val="32"/>
        </w:rPr>
        <w:t>组织实施复审。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公示期内受理举报，实行实名举报，举报材料须有举报人或单位的联系电话。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河北省建筑市场发展研究会</w:t>
      </w:r>
      <w:r>
        <w:rPr>
          <w:rFonts w:hint="eastAsia" w:ascii="仿宋" w:hAnsi="仿宋" w:eastAsia="仿宋" w:cs="仿宋"/>
          <w:sz w:val="32"/>
          <w:szCs w:val="32"/>
        </w:rPr>
        <w:t>收到举报后，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诚信自律委员会</w:t>
      </w:r>
      <w:r>
        <w:rPr>
          <w:rFonts w:hint="eastAsia" w:ascii="仿宋" w:hAnsi="仿宋" w:eastAsia="仿宋" w:cs="仿宋"/>
          <w:sz w:val="32"/>
          <w:szCs w:val="32"/>
        </w:rPr>
        <w:t>组织监理专家调查，并以调查结果为准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，确定最后得分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　</w:t>
      </w:r>
      <w:r>
        <w:rPr>
          <w:rFonts w:hint="eastAsia" w:ascii="仿宋" w:hAnsi="仿宋" w:eastAsia="仿宋" w:cs="仿宋"/>
          <w:sz w:val="32"/>
          <w:szCs w:val="32"/>
        </w:rPr>
        <w:t>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</w:rPr>
        <w:t>自报信用信息情况与河北省建筑市场发展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研究会</w:t>
      </w:r>
      <w:r>
        <w:rPr>
          <w:rFonts w:hint="eastAsia" w:ascii="仿宋" w:hAnsi="仿宋" w:eastAsia="仿宋" w:cs="仿宋"/>
          <w:sz w:val="32"/>
          <w:szCs w:val="32"/>
        </w:rPr>
        <w:t>及建筑市场监管公共服务平台信息不一致的，监理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</w:rPr>
        <w:t>应自查自纠。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　</w:t>
      </w:r>
      <w:r>
        <w:rPr>
          <w:rFonts w:hint="eastAsia" w:ascii="仿宋" w:hAnsi="仿宋" w:eastAsia="仿宋" w:cs="仿宋"/>
          <w:sz w:val="32"/>
          <w:szCs w:val="32"/>
        </w:rPr>
        <w:t>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员信用信息以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河北省建筑市场发展研究会</w:t>
      </w:r>
      <w:r>
        <w:rPr>
          <w:rFonts w:hint="eastAsia" w:ascii="仿宋" w:hAnsi="仿宋" w:eastAsia="仿宋" w:cs="仿宋"/>
          <w:sz w:val="32"/>
          <w:szCs w:val="32"/>
        </w:rPr>
        <w:t>公布的信息为准。优良信用信息公开时限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" w:hAnsi="仿宋" w:eastAsia="仿宋" w:cs="仿宋"/>
          <w:sz w:val="32"/>
          <w:szCs w:val="32"/>
        </w:rPr>
        <w:t>并纳入信用档案；不良信用信息公开时限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6个月至3年，</w:t>
      </w:r>
      <w:r>
        <w:rPr>
          <w:rFonts w:hint="eastAsia" w:ascii="仿宋" w:hAnsi="仿宋" w:eastAsia="仿宋" w:cs="仿宋"/>
          <w:sz w:val="32"/>
          <w:szCs w:val="32"/>
        </w:rPr>
        <w:t>公开时限内的信用信息为有效信息，并纳入信用档案。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第五章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动态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评估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与结果应用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河北省建筑市场发展研究会</w:t>
      </w:r>
      <w:r>
        <w:rPr>
          <w:rFonts w:hint="eastAsia" w:ascii="仿宋" w:hAnsi="仿宋" w:eastAsia="仿宋" w:cs="仿宋"/>
          <w:sz w:val="32"/>
          <w:szCs w:val="32"/>
        </w:rPr>
        <w:t>对监理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实行动态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评估</w:t>
      </w:r>
      <w:r>
        <w:rPr>
          <w:rFonts w:hint="eastAsia" w:ascii="仿宋" w:hAnsi="仿宋" w:eastAsia="仿宋" w:cs="仿宋"/>
          <w:sz w:val="32"/>
          <w:szCs w:val="32"/>
        </w:rPr>
        <w:t>管理，根据激励加分和惩戒减分的评分原则进行调整，定期进行信用评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结果更新。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十九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员获得工程质量奖或其它荣誉奖项的，企业提出调整本企业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相关人员信用等级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并经核实后按照本办法的评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表逐项加分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，计算最后得分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确定信用等级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十条</w:t>
      </w:r>
      <w:r>
        <w:rPr>
          <w:rFonts w:hint="eastAsia" w:ascii="仿宋" w:hAnsi="仿宋" w:eastAsia="仿宋" w:cs="仿宋"/>
          <w:sz w:val="32"/>
          <w:szCs w:val="32"/>
        </w:rPr>
        <w:t xml:space="preserve"> 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员有违反职业道德、不履职、负有工程质量安全事故责任、不良行为等情况的，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行业</w:t>
      </w:r>
      <w:r>
        <w:rPr>
          <w:rFonts w:hint="eastAsia" w:ascii="仿宋" w:hAnsi="仿宋" w:eastAsia="仿宋" w:cs="仿宋"/>
          <w:sz w:val="32"/>
          <w:szCs w:val="32"/>
        </w:rPr>
        <w:t>自律管理发现不守信行为或企业提出降低本企业相关人员信用等级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企业评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资料经核实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后</w:t>
      </w:r>
      <w:r>
        <w:rPr>
          <w:rFonts w:hint="eastAsia" w:ascii="仿宋" w:hAnsi="仿宋" w:eastAsia="仿宋" w:cs="仿宋"/>
          <w:sz w:val="32"/>
          <w:szCs w:val="32"/>
        </w:rPr>
        <w:t>，按照本办法的评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</w:t>
      </w:r>
      <w:r>
        <w:rPr>
          <w:rFonts w:hint="eastAsia" w:ascii="仿宋" w:hAnsi="仿宋" w:eastAsia="仿宋" w:cs="仿宋"/>
          <w:sz w:val="32"/>
          <w:szCs w:val="32"/>
        </w:rPr>
        <w:t>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逐项扣分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，计算最后得分，确定信用等级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一条</w:t>
      </w:r>
      <w:r>
        <w:rPr>
          <w:rFonts w:hint="eastAsia" w:ascii="仿宋" w:hAnsi="仿宋" w:eastAsia="仿宋" w:cs="仿宋"/>
          <w:sz w:val="32"/>
          <w:szCs w:val="32"/>
        </w:rPr>
        <w:t xml:space="preserve"> 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个人会</w:t>
      </w:r>
      <w:r>
        <w:rPr>
          <w:rFonts w:hint="eastAsia" w:ascii="仿宋" w:hAnsi="仿宋" w:eastAsia="仿宋" w:cs="仿宋"/>
          <w:sz w:val="32"/>
          <w:szCs w:val="32"/>
        </w:rPr>
        <w:t>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单位发生</w:t>
      </w:r>
      <w:r>
        <w:rPr>
          <w:rFonts w:hint="eastAsia" w:ascii="仿宋" w:hAnsi="仿宋" w:eastAsia="仿宋" w:cs="仿宋"/>
          <w:sz w:val="32"/>
          <w:szCs w:val="32"/>
        </w:rPr>
        <w:t>变更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，其已获得的信用评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估得分</w:t>
      </w:r>
      <w:r>
        <w:rPr>
          <w:rFonts w:hint="eastAsia" w:ascii="仿宋" w:hAnsi="仿宋" w:eastAsia="仿宋" w:cs="仿宋"/>
          <w:sz w:val="32"/>
          <w:szCs w:val="32"/>
        </w:rPr>
        <w:t>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</w:t>
      </w:r>
      <w:r>
        <w:rPr>
          <w:rFonts w:hint="eastAsia" w:ascii="仿宋" w:hAnsi="仿宋" w:eastAsia="仿宋" w:cs="仿宋"/>
          <w:sz w:val="32"/>
          <w:szCs w:val="32"/>
        </w:rPr>
        <w:t xml:space="preserve"> 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员信用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评估得分</w:t>
      </w:r>
      <w:r>
        <w:rPr>
          <w:rFonts w:hint="eastAsia" w:ascii="仿宋" w:hAnsi="仿宋" w:eastAsia="仿宋" w:cs="仿宋"/>
          <w:sz w:val="32"/>
          <w:szCs w:val="32"/>
        </w:rPr>
        <w:t>录入信用档案。监理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信用评估最后得分较高者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优先参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sz w:val="32"/>
          <w:szCs w:val="32"/>
        </w:rPr>
        <w:t>先进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监理单位会员和优秀</w:t>
      </w:r>
      <w:r>
        <w:rPr>
          <w:rFonts w:hint="eastAsia" w:ascii="仿宋" w:hAnsi="仿宋" w:eastAsia="仿宋" w:cs="仿宋"/>
          <w:sz w:val="32"/>
          <w:szCs w:val="32"/>
        </w:rPr>
        <w:t>个人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条　</w:t>
      </w:r>
      <w:r>
        <w:rPr>
          <w:rFonts w:hint="eastAsia" w:ascii="仿宋" w:hAnsi="仿宋" w:eastAsia="仿宋" w:cs="仿宋"/>
          <w:sz w:val="32"/>
          <w:szCs w:val="32"/>
        </w:rPr>
        <w:t>对守信监理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 w:cs="仿宋"/>
          <w:sz w:val="32"/>
          <w:szCs w:val="32"/>
        </w:rPr>
        <w:t>员予以激励奖励。对信用好的会员，优先提供信息、技术服务、政策扶持和法律援助，优先推荐参加国内外行业交流活动，列入重点表扬范围。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十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监理</w:t>
      </w:r>
      <w:r>
        <w:rPr>
          <w:rFonts w:hint="eastAsia" w:ascii="仿宋_GB2312" w:eastAsia="仿宋_GB2312"/>
          <w:sz w:val="32"/>
          <w:szCs w:val="32"/>
          <w:lang w:eastAsia="zh-CN"/>
        </w:rPr>
        <w:t>会</w:t>
      </w:r>
      <w:r>
        <w:rPr>
          <w:rFonts w:hint="eastAsia" w:ascii="仿宋_GB2312" w:eastAsia="仿宋_GB2312"/>
          <w:sz w:val="32"/>
          <w:szCs w:val="32"/>
        </w:rPr>
        <w:t>员信用评</w:t>
      </w:r>
      <w:r>
        <w:rPr>
          <w:rFonts w:hint="eastAsia" w:ascii="仿宋_GB2312" w:eastAsia="仿宋_GB2312"/>
          <w:sz w:val="32"/>
          <w:szCs w:val="32"/>
          <w:lang w:eastAsia="zh-CN"/>
        </w:rPr>
        <w:t>估</w:t>
      </w:r>
      <w:r>
        <w:rPr>
          <w:rFonts w:hint="eastAsia" w:ascii="仿宋_GB2312" w:eastAsia="仿宋_GB2312"/>
          <w:sz w:val="32"/>
          <w:szCs w:val="32"/>
        </w:rPr>
        <w:t>结果可应用于企业承接监理业务、监理合同备案、企业宣传等。鼓励建筑市场各方主体在委托工程监理业务时使用信用评</w:t>
      </w:r>
      <w:r>
        <w:rPr>
          <w:rFonts w:hint="eastAsia" w:ascii="仿宋_GB2312" w:eastAsia="仿宋_GB2312"/>
          <w:sz w:val="32"/>
          <w:szCs w:val="32"/>
          <w:lang w:eastAsia="zh-CN"/>
        </w:rPr>
        <w:t>估</w:t>
      </w:r>
      <w:r>
        <w:rPr>
          <w:rFonts w:hint="eastAsia" w:ascii="仿宋_GB2312" w:eastAsia="仿宋_GB2312"/>
          <w:sz w:val="32"/>
          <w:szCs w:val="32"/>
        </w:rPr>
        <w:t>结果作为重要评价指标之一，但不支持将信用评</w:t>
      </w:r>
      <w:r>
        <w:rPr>
          <w:rFonts w:hint="eastAsia" w:ascii="仿宋_GB2312" w:eastAsia="仿宋_GB2312"/>
          <w:sz w:val="32"/>
          <w:szCs w:val="32"/>
          <w:lang w:eastAsia="zh-CN"/>
        </w:rPr>
        <w:t>估</w:t>
      </w:r>
      <w:r>
        <w:rPr>
          <w:rFonts w:hint="eastAsia" w:ascii="仿宋_GB2312" w:eastAsia="仿宋_GB2312"/>
          <w:sz w:val="32"/>
          <w:szCs w:val="32"/>
        </w:rPr>
        <w:t>结果作为排他性条款。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321" w:firstLineChars="100"/>
        <w:jc w:val="center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第六章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信用评价监督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宋体" w:eastAsia="仿宋_GB2312" w:cs="宋体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宋体" w:eastAsia="仿宋_GB2312" w:cs="宋体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宋体" w:eastAsia="仿宋_GB2312" w:cs="宋体"/>
          <w:b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宋体" w:eastAsia="仿宋_GB2312" w:cs="宋体"/>
          <w:b/>
          <w:bCs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条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工作确保公开、公正和透明，接受建设行政主管部门和社会监督。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十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在评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期内，如发现企业和个人弄虚作假、隐瞒失信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，记入不良信用信息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十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河北省建筑市场发展研究会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设立接受社会监督的专用电话，受理投诉和举报，并自受理之日30个工作日内作出处理和答复。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十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河北省建筑市场发展研究会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建立并完善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会员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的信用档案和自律管理，向社会公开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监理会员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信用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十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监理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员信用评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是一项适应市场、规范从业行为、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打造诚信监理行业，促进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监理行业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高质量可持续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发展的创新工作，其评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体系将进行持续改进和完善。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142" w:firstLine="0" w:firstLineChars="0"/>
        <w:jc w:val="center"/>
        <w:textAlignment w:val="auto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附 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5"/>
        <w:textAlignment w:val="auto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第三十条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本办法由河北省建筑市场发展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研究会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负责解释。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本办法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自发布之日起实施。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317"/>
    <w:multiLevelType w:val="multilevel"/>
    <w:tmpl w:val="071F5317"/>
    <w:lvl w:ilvl="0" w:tentative="0">
      <w:start w:val="1"/>
      <w:numFmt w:val="japaneseCounting"/>
      <w:lvlText w:val="第%1章"/>
      <w:lvlJc w:val="left"/>
      <w:pPr>
        <w:ind w:left="3596" w:hanging="118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F4853"/>
    <w:multiLevelType w:val="multilevel"/>
    <w:tmpl w:val="090F4853"/>
    <w:lvl w:ilvl="0" w:tentative="0">
      <w:start w:val="7"/>
      <w:numFmt w:val="japaneseCounting"/>
      <w:lvlText w:val="第%1章"/>
      <w:lvlJc w:val="left"/>
      <w:pPr>
        <w:ind w:left="2215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75" w:hanging="420"/>
      </w:pPr>
    </w:lvl>
    <w:lvl w:ilvl="2" w:tentative="0">
      <w:start w:val="1"/>
      <w:numFmt w:val="lowerRoman"/>
      <w:lvlText w:val="%3."/>
      <w:lvlJc w:val="right"/>
      <w:pPr>
        <w:ind w:left="2395" w:hanging="420"/>
      </w:pPr>
    </w:lvl>
    <w:lvl w:ilvl="3" w:tentative="0">
      <w:start w:val="1"/>
      <w:numFmt w:val="decimal"/>
      <w:lvlText w:val="%4."/>
      <w:lvlJc w:val="left"/>
      <w:pPr>
        <w:ind w:left="2815" w:hanging="420"/>
      </w:pPr>
    </w:lvl>
    <w:lvl w:ilvl="4" w:tentative="0">
      <w:start w:val="1"/>
      <w:numFmt w:val="lowerLetter"/>
      <w:lvlText w:val="%5)"/>
      <w:lvlJc w:val="left"/>
      <w:pPr>
        <w:ind w:left="3235" w:hanging="420"/>
      </w:pPr>
    </w:lvl>
    <w:lvl w:ilvl="5" w:tentative="0">
      <w:start w:val="1"/>
      <w:numFmt w:val="lowerRoman"/>
      <w:lvlText w:val="%6."/>
      <w:lvlJc w:val="right"/>
      <w:pPr>
        <w:ind w:left="3655" w:hanging="420"/>
      </w:pPr>
    </w:lvl>
    <w:lvl w:ilvl="6" w:tentative="0">
      <w:start w:val="1"/>
      <w:numFmt w:val="decimal"/>
      <w:lvlText w:val="%7."/>
      <w:lvlJc w:val="left"/>
      <w:pPr>
        <w:ind w:left="4075" w:hanging="420"/>
      </w:pPr>
    </w:lvl>
    <w:lvl w:ilvl="7" w:tentative="0">
      <w:start w:val="1"/>
      <w:numFmt w:val="lowerLetter"/>
      <w:lvlText w:val="%8)"/>
      <w:lvlJc w:val="left"/>
      <w:pPr>
        <w:ind w:left="4495" w:hanging="420"/>
      </w:pPr>
    </w:lvl>
    <w:lvl w:ilvl="8" w:tentative="0">
      <w:start w:val="1"/>
      <w:numFmt w:val="lowerRoman"/>
      <w:lvlText w:val="%9."/>
      <w:lvlJc w:val="right"/>
      <w:pPr>
        <w:ind w:left="4915" w:hanging="420"/>
      </w:pPr>
    </w:lvl>
  </w:abstractNum>
  <w:abstractNum w:abstractNumId="2">
    <w:nsid w:val="1D3A7A64"/>
    <w:multiLevelType w:val="multilevel"/>
    <w:tmpl w:val="1D3A7A64"/>
    <w:lvl w:ilvl="0" w:tentative="0">
      <w:start w:val="1"/>
      <w:numFmt w:val="japaneseCounting"/>
      <w:lvlText w:val="第%1条"/>
      <w:lvlJc w:val="left"/>
      <w:pPr>
        <w:ind w:left="2515" w:hanging="138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6F6A2744"/>
    <w:multiLevelType w:val="singleLevel"/>
    <w:tmpl w:val="6F6A274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EA"/>
    <w:rsid w:val="001F4AE8"/>
    <w:rsid w:val="002028D8"/>
    <w:rsid w:val="002957B1"/>
    <w:rsid w:val="002C1A34"/>
    <w:rsid w:val="002C231F"/>
    <w:rsid w:val="00323755"/>
    <w:rsid w:val="00330FF1"/>
    <w:rsid w:val="00336172"/>
    <w:rsid w:val="00340BDD"/>
    <w:rsid w:val="003540F5"/>
    <w:rsid w:val="00363C55"/>
    <w:rsid w:val="0052041C"/>
    <w:rsid w:val="00554C64"/>
    <w:rsid w:val="005A0A06"/>
    <w:rsid w:val="006212DB"/>
    <w:rsid w:val="00654A36"/>
    <w:rsid w:val="008000E3"/>
    <w:rsid w:val="008347DE"/>
    <w:rsid w:val="00835444"/>
    <w:rsid w:val="00887005"/>
    <w:rsid w:val="008921CD"/>
    <w:rsid w:val="008F3420"/>
    <w:rsid w:val="00950135"/>
    <w:rsid w:val="00950B7A"/>
    <w:rsid w:val="009741DD"/>
    <w:rsid w:val="009A28D2"/>
    <w:rsid w:val="009A3470"/>
    <w:rsid w:val="009F6632"/>
    <w:rsid w:val="00A05A6F"/>
    <w:rsid w:val="00A44498"/>
    <w:rsid w:val="00A531BB"/>
    <w:rsid w:val="00A6301E"/>
    <w:rsid w:val="00AA6927"/>
    <w:rsid w:val="00B35403"/>
    <w:rsid w:val="00B66967"/>
    <w:rsid w:val="00CC31A9"/>
    <w:rsid w:val="00CE04C2"/>
    <w:rsid w:val="00D85F0B"/>
    <w:rsid w:val="00DA065D"/>
    <w:rsid w:val="00DB08EB"/>
    <w:rsid w:val="00DB58A5"/>
    <w:rsid w:val="00DE6DEA"/>
    <w:rsid w:val="00E17F2C"/>
    <w:rsid w:val="00EA3AA0"/>
    <w:rsid w:val="00EB0418"/>
    <w:rsid w:val="00ED5263"/>
    <w:rsid w:val="00EE5C1F"/>
    <w:rsid w:val="00F20EA3"/>
    <w:rsid w:val="00F43090"/>
    <w:rsid w:val="00F748A6"/>
    <w:rsid w:val="00FD7526"/>
    <w:rsid w:val="0477544A"/>
    <w:rsid w:val="04D83865"/>
    <w:rsid w:val="058D46AC"/>
    <w:rsid w:val="07F747F2"/>
    <w:rsid w:val="08EF3DB8"/>
    <w:rsid w:val="09E54C8D"/>
    <w:rsid w:val="0BFA24B6"/>
    <w:rsid w:val="0BFD5BE9"/>
    <w:rsid w:val="0D521DE3"/>
    <w:rsid w:val="0EB951F0"/>
    <w:rsid w:val="0EF70BC2"/>
    <w:rsid w:val="0F4A6607"/>
    <w:rsid w:val="0FE04450"/>
    <w:rsid w:val="10474CBC"/>
    <w:rsid w:val="11B14676"/>
    <w:rsid w:val="157A4A3A"/>
    <w:rsid w:val="16273142"/>
    <w:rsid w:val="18D05ED7"/>
    <w:rsid w:val="1D410DF5"/>
    <w:rsid w:val="1F373D8C"/>
    <w:rsid w:val="21797592"/>
    <w:rsid w:val="21D77F58"/>
    <w:rsid w:val="238F5D25"/>
    <w:rsid w:val="26055F84"/>
    <w:rsid w:val="2626664E"/>
    <w:rsid w:val="262E4EA6"/>
    <w:rsid w:val="266646EA"/>
    <w:rsid w:val="267C0A28"/>
    <w:rsid w:val="27392E04"/>
    <w:rsid w:val="2788207E"/>
    <w:rsid w:val="29A47814"/>
    <w:rsid w:val="2B7353B0"/>
    <w:rsid w:val="2D141126"/>
    <w:rsid w:val="2DE17C15"/>
    <w:rsid w:val="2F943732"/>
    <w:rsid w:val="324C2A7C"/>
    <w:rsid w:val="33E07CB5"/>
    <w:rsid w:val="36956D63"/>
    <w:rsid w:val="373A5DCB"/>
    <w:rsid w:val="390F4830"/>
    <w:rsid w:val="3A431554"/>
    <w:rsid w:val="3C4B2F25"/>
    <w:rsid w:val="3D5D6E36"/>
    <w:rsid w:val="3F927C5C"/>
    <w:rsid w:val="3FF167F6"/>
    <w:rsid w:val="453019E8"/>
    <w:rsid w:val="48347216"/>
    <w:rsid w:val="486A69A3"/>
    <w:rsid w:val="49D0254D"/>
    <w:rsid w:val="49FF3D4C"/>
    <w:rsid w:val="4BCC6284"/>
    <w:rsid w:val="4C59797B"/>
    <w:rsid w:val="4CD86B47"/>
    <w:rsid w:val="4D7D05CE"/>
    <w:rsid w:val="502C5D0A"/>
    <w:rsid w:val="50C078A4"/>
    <w:rsid w:val="53192464"/>
    <w:rsid w:val="53AD23E1"/>
    <w:rsid w:val="541C03A1"/>
    <w:rsid w:val="57CC055D"/>
    <w:rsid w:val="59E90094"/>
    <w:rsid w:val="5A770367"/>
    <w:rsid w:val="5C471316"/>
    <w:rsid w:val="5CB06250"/>
    <w:rsid w:val="5CB3567D"/>
    <w:rsid w:val="5FC86518"/>
    <w:rsid w:val="603B5099"/>
    <w:rsid w:val="618543C8"/>
    <w:rsid w:val="63414D6E"/>
    <w:rsid w:val="6AE03B82"/>
    <w:rsid w:val="6B031931"/>
    <w:rsid w:val="6E0C5D64"/>
    <w:rsid w:val="73431296"/>
    <w:rsid w:val="748530B7"/>
    <w:rsid w:val="7612014E"/>
    <w:rsid w:val="76D113B4"/>
    <w:rsid w:val="776501B3"/>
    <w:rsid w:val="77A63D05"/>
    <w:rsid w:val="790D366A"/>
    <w:rsid w:val="7D124424"/>
    <w:rsid w:val="7DBF744F"/>
    <w:rsid w:val="7E6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271BA-637D-498D-A4EF-16A47DF37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PC</Company>
  <Pages>9</Pages>
  <Words>521</Words>
  <Characters>2976</Characters>
  <Lines>24</Lines>
  <Paragraphs>6</Paragraphs>
  <TotalTime>1</TotalTime>
  <ScaleCrop>false</ScaleCrop>
  <LinksUpToDate>false</LinksUpToDate>
  <CharactersWithSpaces>3491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2018-02-11T01:08:00Z</dcterms:created>
  <dc:creator>lenovo</dc:creator>
  <cp:lastModifiedBy>Administrator</cp:lastModifiedBy>
  <cp:lastPrinted>2020-10-15T05:57:20Z</cp:lastPrinted>
  <dcterms:modified xsi:type="dcterms:W3CDTF">2020-10-15T05:57:22Z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